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报价书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三明市华城置业有限公司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我司已全面阅读和研究了三明生态新城核心区水南峡片区、中心洋片区及村尾片区已征收房屋拆除工程询价公告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，充分理解并掌握了本次询价的全部情况。遵照拆除房屋建筑工程的相关法律法规及规定，经我司考察现场后向你司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收取/支付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元整（含税）的总价，按询价公告的要求承包本次施工范围内的拆除作业。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备注：以上房屋拆除所报价的方式分为收取或支付，二选一。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报价单位：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报价人：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